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60" w:rsidRDefault="008A0C60" w:rsidP="008A0C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8A0C60" w:rsidRDefault="008A0C60" w:rsidP="008A0C60">
      <w:pPr>
        <w:jc w:val="center"/>
        <w:textAlignment w:val="baseline"/>
        <w:rPr>
          <w:rFonts w:ascii="华文中宋" w:eastAsia="华文中宋" w:hAnsi="华文中宋" w:hint="eastAsia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选题参考指南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bCs/>
          <w:sz w:val="20"/>
        </w:rPr>
      </w:pPr>
      <w:r>
        <w:rPr>
          <w:rFonts w:ascii="仿宋_GB2312" w:eastAsia="仿宋_GB2312" w:hAnsi="仿宋_GB2312" w:cs="仿宋_GB2312" w:hint="eastAsia"/>
          <w:bCs/>
          <w:sz w:val="32"/>
        </w:rPr>
        <w:t>1.贯彻落</w:t>
      </w:r>
      <w:proofErr w:type="gramStart"/>
      <w:r>
        <w:rPr>
          <w:rFonts w:ascii="仿宋_GB2312" w:eastAsia="仿宋_GB2312" w:hAnsi="仿宋_GB2312" w:cs="仿宋_GB2312" w:hint="eastAsia"/>
          <w:bCs/>
          <w:sz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>平总书记关于郑州重要指示精神，推动郑州高质量发展研究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bCs/>
          <w:sz w:val="20"/>
        </w:rPr>
      </w:pPr>
      <w:r>
        <w:rPr>
          <w:rFonts w:ascii="仿宋_GB2312" w:eastAsia="仿宋_GB2312" w:hAnsi="仿宋_GB2312" w:cs="仿宋_GB2312" w:hint="eastAsia"/>
          <w:bCs/>
          <w:sz w:val="32"/>
        </w:rPr>
        <w:t>2.贯彻落</w:t>
      </w:r>
      <w:proofErr w:type="gramStart"/>
      <w:r>
        <w:rPr>
          <w:rFonts w:ascii="仿宋_GB2312" w:eastAsia="仿宋_GB2312" w:hAnsi="仿宋_GB2312" w:cs="仿宋_GB2312" w:hint="eastAsia"/>
          <w:bCs/>
          <w:sz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>平总书记关于郑州重要指示精神，扩大开放水平，打造对外开放高地研究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2"/>
        </w:rPr>
        <w:t>3.贯彻落</w:t>
      </w:r>
      <w:proofErr w:type="gramStart"/>
      <w:r>
        <w:rPr>
          <w:rFonts w:ascii="仿宋_GB2312" w:eastAsia="仿宋_GB2312" w:hAnsi="仿宋_GB2312" w:cs="仿宋_GB2312" w:hint="eastAsia"/>
          <w:bCs/>
          <w:sz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>平总书记关于郑州重要指示精神，郑州在推动区域协调发展中发挥担当作为研究</w:t>
      </w:r>
    </w:p>
    <w:p w:rsidR="008A0C60" w:rsidRDefault="008A0C60" w:rsidP="008A0C60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bCs/>
          <w:kern w:val="2"/>
          <w:sz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</w:rPr>
        <w:t>4.习近平新时代中国特色社会主义思想在郑州实践典型案例研究</w:t>
      </w:r>
    </w:p>
    <w:p w:rsidR="008A0C60" w:rsidRDefault="008A0C60" w:rsidP="008A0C60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bCs/>
          <w:kern w:val="2"/>
          <w:sz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</w:rPr>
        <w:t>5.“十个坚持”在郑州的实践典型案例研究</w:t>
      </w:r>
    </w:p>
    <w:p w:rsidR="008A0C60" w:rsidRDefault="008A0C60" w:rsidP="008A0C60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bCs/>
          <w:kern w:val="2"/>
          <w:sz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</w:rPr>
        <w:t>6.党的十八大以来郑州取得的原创性、变革性实践，突破性进展和标志性成果经验研究</w:t>
      </w:r>
    </w:p>
    <w:p w:rsidR="008A0C60" w:rsidRDefault="008A0C60" w:rsidP="008A0C60">
      <w:pPr>
        <w:spacing w:line="520" w:lineRule="exact"/>
        <w:ind w:left="630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提质进位建设现代化国家中心城市</w:t>
      </w:r>
    </w:p>
    <w:p w:rsidR="008A0C60" w:rsidRDefault="008A0C60" w:rsidP="008A0C60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bCs/>
          <w:kern w:val="2"/>
          <w:sz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打造国内一流、国际知名的创新高地</w:t>
      </w:r>
    </w:p>
    <w:p w:rsidR="008A0C60" w:rsidRDefault="008A0C60" w:rsidP="008A0C60">
      <w:pPr>
        <w:spacing w:line="520" w:lineRule="exact"/>
        <w:ind w:left="630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打造国内一流、国际知名的先进制造业高地</w:t>
      </w:r>
    </w:p>
    <w:p w:rsidR="008A0C60" w:rsidRDefault="008A0C60" w:rsidP="008A0C60">
      <w:pPr>
        <w:spacing w:line="520" w:lineRule="exact"/>
        <w:ind w:left="630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打造国内一流、国际知名的开放高地</w:t>
      </w:r>
    </w:p>
    <w:p w:rsidR="008A0C60" w:rsidRDefault="008A0C60" w:rsidP="008A0C60">
      <w:pPr>
        <w:spacing w:line="520" w:lineRule="exact"/>
        <w:ind w:left="630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打造国内一流、国际知名的人才高地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12.未来15年郑州的核心竞争力研究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前瞻布局郑州未来产业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bCs/>
          <w:sz w:val="32"/>
        </w:rPr>
        <w:t>郑州以体制机制创新激发内生动力问题研究</w:t>
      </w:r>
    </w:p>
    <w:p w:rsidR="008A0C60" w:rsidRDefault="008A0C60" w:rsidP="008A0C60">
      <w:pPr>
        <w:spacing w:line="520" w:lineRule="exact"/>
        <w:ind w:left="63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bCs/>
          <w:sz w:val="32"/>
        </w:rPr>
        <w:t>郑州建设现代产业体系问题研究</w:t>
      </w:r>
    </w:p>
    <w:p w:rsidR="008A0C60" w:rsidRPr="008A0C60" w:rsidRDefault="008A0C60" w:rsidP="008A0C60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bCs/>
          <w:kern w:val="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bCs/>
          <w:sz w:val="32"/>
        </w:rPr>
        <w:t>郑州优化产业链发展布局研究</w:t>
      </w:r>
      <w:bookmarkStart w:id="0" w:name="_GoBack"/>
      <w:bookmarkEnd w:id="0"/>
    </w:p>
    <w:p w:rsidR="008A0C60" w:rsidRDefault="008A0C60" w:rsidP="008A0C60">
      <w:pPr>
        <w:spacing w:line="520" w:lineRule="exact"/>
        <w:ind w:left="63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</w:rPr>
        <w:t>郑州国家中心城市高质量发展的战略问题研究</w:t>
      </w:r>
    </w:p>
    <w:p w:rsidR="008A0C60" w:rsidRDefault="008A0C60" w:rsidP="008A0C60">
      <w:pPr>
        <w:spacing w:line="520" w:lineRule="exact"/>
        <w:ind w:left="63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</w:rPr>
        <w:t>郑州在中部崛起战略中的支撑作用研究</w:t>
      </w:r>
    </w:p>
    <w:p w:rsidR="008A0C60" w:rsidRDefault="008A0C60" w:rsidP="008A0C60">
      <w:pPr>
        <w:spacing w:line="520" w:lineRule="exact"/>
        <w:ind w:left="63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19.</w:t>
      </w:r>
      <w:r>
        <w:rPr>
          <w:rFonts w:ascii="仿宋_GB2312" w:eastAsia="仿宋_GB2312" w:hAnsi="仿宋_GB2312" w:cs="仿宋_GB2312" w:hint="eastAsia"/>
          <w:sz w:val="32"/>
        </w:rPr>
        <w:t>打造国家区域科技创新中心研究</w:t>
      </w:r>
    </w:p>
    <w:p w:rsidR="008A0C60" w:rsidRDefault="008A0C60" w:rsidP="008A0C60">
      <w:pPr>
        <w:spacing w:line="520" w:lineRule="exact"/>
        <w:ind w:left="63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20.建设郑州现代服务业新体系</w:t>
      </w:r>
    </w:p>
    <w:p w:rsidR="008A0C60" w:rsidRDefault="008A0C60" w:rsidP="008A0C60">
      <w:pPr>
        <w:spacing w:line="520" w:lineRule="exact"/>
        <w:ind w:left="630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21.打造具有国际影响力的枢纽经济先行区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</w:rPr>
        <w:t>.数字经济推动郑州产业转型升级研究</w:t>
      </w:r>
    </w:p>
    <w:p w:rsidR="008A0C60" w:rsidRDefault="008A0C60" w:rsidP="008A0C60">
      <w:pPr>
        <w:spacing w:line="520" w:lineRule="exact"/>
        <w:ind w:left="630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bCs/>
          <w:sz w:val="32"/>
        </w:rPr>
        <w:t>郑州自贸区高质量发展问题研究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24.加快县域经济高质量发展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25.现代化韧性城市建设</w:t>
      </w:r>
    </w:p>
    <w:p w:rsidR="008A0C60" w:rsidRDefault="008A0C60" w:rsidP="008A0C60">
      <w:pPr>
        <w:spacing w:line="520" w:lineRule="exact"/>
        <w:ind w:left="63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26.双循环战略下扩大郑州新优势研究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27.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打造绿色低碳先行示范区</w:t>
      </w:r>
    </w:p>
    <w:p w:rsidR="008A0C60" w:rsidRDefault="008A0C60" w:rsidP="008A0C60">
      <w:pPr>
        <w:spacing w:line="520" w:lineRule="exact"/>
        <w:ind w:firstLineChars="200" w:firstLine="616"/>
        <w:textAlignment w:val="baseline"/>
        <w:rPr>
          <w:rFonts w:ascii="仿宋_GB2312" w:eastAsia="仿宋_GB2312" w:hAnsi="仿宋_GB2312" w:cs="仿宋_GB2312" w:hint="eastAsia"/>
          <w:spacing w:val="-11"/>
          <w:sz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</w:rPr>
        <w:t>28.</w:t>
      </w:r>
      <w:r>
        <w:rPr>
          <w:rFonts w:ascii="仿宋_GB2312" w:eastAsia="仿宋_GB2312" w:hAnsi="仿宋_GB2312" w:cs="仿宋_GB2312" w:hint="eastAsia"/>
          <w:sz w:val="32"/>
        </w:rPr>
        <w:t>郑州推动绿色发展的难点与对策研究</w:t>
      </w:r>
    </w:p>
    <w:p w:rsidR="008A0C60" w:rsidRDefault="008A0C60" w:rsidP="008A0C60">
      <w:pPr>
        <w:spacing w:line="520" w:lineRule="exact"/>
        <w:ind w:firstLineChars="200" w:firstLine="616"/>
        <w:textAlignment w:val="baseline"/>
        <w:rPr>
          <w:rFonts w:ascii="仿宋_GB2312" w:eastAsia="仿宋_GB2312" w:hAnsi="仿宋_GB2312" w:cs="仿宋_GB2312" w:hint="eastAsia"/>
          <w:spacing w:val="-6"/>
          <w:sz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</w:rPr>
        <w:t>29.</w:t>
      </w:r>
      <w:r>
        <w:rPr>
          <w:rFonts w:ascii="仿宋_GB2312" w:eastAsia="仿宋_GB2312" w:hAnsi="仿宋_GB2312" w:cs="仿宋_GB2312" w:hint="eastAsia"/>
          <w:bCs/>
          <w:sz w:val="32"/>
        </w:rPr>
        <w:t>郑州市</w:t>
      </w:r>
      <w:proofErr w:type="gramStart"/>
      <w:r>
        <w:rPr>
          <w:rFonts w:ascii="仿宋_GB2312" w:eastAsia="仿宋_GB2312" w:hAnsi="仿宋_GB2312" w:cs="仿宋_GB2312" w:hint="eastAsia"/>
          <w:bCs/>
          <w:sz w:val="32"/>
        </w:rPr>
        <w:t>域社会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>治理现代化研究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30.</w:t>
      </w:r>
      <w:r>
        <w:rPr>
          <w:rFonts w:ascii="仿宋_GB2312" w:eastAsia="仿宋_GB2312" w:hAnsi="仿宋_GB2312" w:cs="仿宋_GB2312" w:hint="eastAsia"/>
          <w:spacing w:val="-6"/>
          <w:sz w:val="32"/>
        </w:rPr>
        <w:t>构建郑州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</w:rPr>
        <w:t>“事件”处理机制，提高城市治理水平研究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31.文化资源优势如何转化为文化软实力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bCs/>
          <w:sz w:val="20"/>
        </w:rPr>
      </w:pPr>
      <w:r>
        <w:rPr>
          <w:rFonts w:ascii="仿宋_GB2312" w:eastAsia="仿宋_GB2312" w:hAnsi="仿宋_GB2312" w:cs="仿宋_GB2312" w:hint="eastAsia"/>
          <w:bCs/>
          <w:sz w:val="32"/>
        </w:rPr>
        <w:t>32.郑州都市文化气韵塑造问题研究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33.郑州市文化创意产业发展现状及比较分析研究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34.郑州市城乡区域融合发展研究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35.郑州市建设多层次商贸体系对策建议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bCs/>
          <w:sz w:val="20"/>
        </w:rPr>
      </w:pPr>
      <w:r>
        <w:rPr>
          <w:rFonts w:ascii="仿宋_GB2312" w:eastAsia="仿宋_GB2312" w:hAnsi="仿宋_GB2312" w:cs="仿宋_GB2312" w:hint="eastAsia"/>
          <w:bCs/>
          <w:sz w:val="32"/>
        </w:rPr>
        <w:t>36.党领导城市发展的能力提升对策研究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37.新时期基层党组织作用的发挥机制研究</w:t>
      </w:r>
    </w:p>
    <w:p w:rsidR="008A0C60" w:rsidRDefault="008A0C60" w:rsidP="008A0C60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bCs/>
          <w:kern w:val="2"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38.</w:t>
      </w:r>
      <w:r>
        <w:rPr>
          <w:rFonts w:ascii="仿宋_GB2312" w:eastAsia="仿宋_GB2312" w:hAnsi="仿宋_GB2312" w:cs="仿宋_GB2312" w:hint="eastAsia"/>
          <w:bCs/>
          <w:kern w:val="2"/>
          <w:sz w:val="32"/>
        </w:rPr>
        <w:t>郑州全面推进乡村振兴问题研究</w:t>
      </w:r>
    </w:p>
    <w:p w:rsidR="008A0C60" w:rsidRDefault="008A0C60" w:rsidP="008A0C60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39.如何整合郑州市科教创新要素，提升创新能力</w:t>
      </w:r>
    </w:p>
    <w:p w:rsidR="00E126AE" w:rsidRDefault="008A0C60" w:rsidP="008A0C60">
      <w:pPr>
        <w:ind w:firstLineChars="200" w:firstLine="640"/>
      </w:pPr>
      <w:r>
        <w:rPr>
          <w:rFonts w:ascii="仿宋_GB2312" w:eastAsia="仿宋_GB2312" w:hAnsi="仿宋_GB2312" w:cs="仿宋_GB2312" w:hint="eastAsia"/>
          <w:bCs/>
          <w:sz w:val="32"/>
        </w:rPr>
        <w:t>40.郑州市“美好教育”实现的路径研究</w:t>
      </w:r>
    </w:p>
    <w:sectPr w:rsidR="00E1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60"/>
    <w:rsid w:val="008A0C60"/>
    <w:rsid w:val="00E1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F956"/>
  <w15:chartTrackingRefBased/>
  <w15:docId w15:val="{C81D3B98-E512-4456-8843-BE293F5B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0C6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>DoubleOX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2021-12-23T00:57:00Z</dcterms:created>
  <dcterms:modified xsi:type="dcterms:W3CDTF">2021-12-23T00:58:00Z</dcterms:modified>
</cp:coreProperties>
</file>