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仿宋_GB2312" w:eastAsia="黑体" w:cs="宋体"/>
          <w:spacing w:val="-17"/>
          <w:kern w:val="0"/>
          <w:sz w:val="32"/>
          <w:szCs w:val="28"/>
        </w:rPr>
      </w:pPr>
      <w:r>
        <w:rPr>
          <w:rFonts w:hint="eastAsia" w:ascii="黑体" w:hAnsi="仿宋_GB2312" w:eastAsia="黑体" w:cs="宋体"/>
          <w:spacing w:val="-17"/>
          <w:kern w:val="0"/>
          <w:sz w:val="32"/>
          <w:szCs w:val="28"/>
        </w:rPr>
        <w:t>附件1</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仿宋_GB2312" w:eastAsia="黑体" w:cs="宋体"/>
          <w:spacing w:val="-17"/>
          <w:kern w:val="0"/>
          <w:sz w:val="32"/>
          <w:szCs w:val="28"/>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共青团河南省委、河南省社科联202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年度专项调研课题（青少年工作研究）指南</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楷体_GB2312" w:hAnsi="华文中宋" w:eastAsia="楷体_GB2312"/>
          <w:color w:val="000000"/>
          <w:sz w:val="32"/>
          <w:szCs w:val="32"/>
        </w:rPr>
      </w:pPr>
      <w:r>
        <w:rPr>
          <w:rFonts w:hint="eastAsia" w:ascii="楷体_GB2312" w:hAnsi="华文中宋" w:eastAsia="楷体_GB2312"/>
          <w:color w:val="000000"/>
          <w:sz w:val="32"/>
          <w:szCs w:val="32"/>
        </w:rPr>
        <w:t>（共</w:t>
      </w:r>
      <w:r>
        <w:rPr>
          <w:rFonts w:hint="eastAsia" w:ascii="楷体_GB2312" w:hAnsi="华文中宋" w:eastAsia="楷体_GB2312"/>
          <w:color w:val="000000"/>
          <w:sz w:val="32"/>
          <w:szCs w:val="32"/>
          <w:lang w:val="en-US" w:eastAsia="zh-CN"/>
        </w:rPr>
        <w:t>23</w:t>
      </w:r>
      <w:r>
        <w:rPr>
          <w:rFonts w:hint="eastAsia" w:ascii="楷体_GB2312" w:hAnsi="华文中宋" w:eastAsia="楷体_GB2312"/>
          <w:color w:val="000000"/>
          <w:sz w:val="32"/>
          <w:szCs w:val="32"/>
        </w:rPr>
        <w:t>项）</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eastAsia="仿宋_GB2312"/>
          <w:sz w:val="32"/>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习近平新时代中国特色社会主义思想的青年</w:t>
      </w:r>
      <w:bookmarkStart w:id="0" w:name="_GoBack"/>
      <w:bookmarkEnd w:id="0"/>
      <w:r>
        <w:rPr>
          <w:rFonts w:hint="eastAsia" w:ascii="仿宋_GB2312" w:hAnsi="仿宋_GB2312" w:eastAsia="仿宋_GB2312" w:cs="仿宋_GB2312"/>
          <w:sz w:val="32"/>
          <w:szCs w:val="32"/>
        </w:rPr>
        <w:t>化阐释研究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2.习近平新时代中国特色社会主义思想的世界观和方法论“掌握”青年群众的路径方法研究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3.中国式现代化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河南实践中的青年作用发挥研究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4.青年在锻造新质生产力中的作用发挥研究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党领导下的河南青年运动史研究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.中国少年儿童运动的河南实践研究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7.新时代新征程青年奋斗精神培育研究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二、一般课题</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黑体" w:eastAsia="黑体"/>
          <w:sz w:val="32"/>
          <w:szCs w:val="28"/>
          <w:lang w:val="en-US" w:eastAsia="zh-CN"/>
        </w:rPr>
        <w:t xml:space="preserve">  </w:t>
      </w:r>
      <w:r>
        <w:rPr>
          <w:rFonts w:hint="eastAsia" w:ascii="仿宋_GB2312" w:hAnsi="仿宋_GB2312" w:eastAsia="仿宋_GB2312" w:cs="仿宋_GB2312"/>
          <w:sz w:val="32"/>
          <w:szCs w:val="32"/>
          <w:lang w:val="en-US" w:eastAsia="zh-CN"/>
        </w:rPr>
        <w:t xml:space="preserve">  8.河南省青年友好型环境创建的对策研究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9.利用新媒体开展青少年思想政治引领面临的挑战及应对策略研究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10.特定青年群体思想状况分析及引导建议研究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11.河南青年岗位建功行动的历史经验启示及新时代传承创新研究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12.河南省青少年有序政治参与的路径载体研究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13.河南省青少年压力情绪与心理调适问题研究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14.新业态新就业和新兴领域青年群体的发展状况研究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15.共青团联系和服务“两企三新”青年群体的路径研究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16.推动新时代河南青年志愿者事业和青少年事务社会工作高质量发展研究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17.共青团和青少年工作数字化赋能研究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18.河南县域共青团基层组织改革探索与创新研究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19.团干部教育培训方法创新研究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20.“戏剧思政”视域下推进党团队一体化阶梯式培养新模式研究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21.全团带队背景下构建少先队社会化工作体系研究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22.依托中华优秀传统文化开展少先队主题活动的策略研究</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hAnsi="仿宋_GB2312" w:cs="仿宋_GB2312"/>
          <w:sz w:val="32"/>
          <w:szCs w:val="32"/>
          <w:lang w:val="en-US" w:eastAsia="zh-CN"/>
        </w:rPr>
        <w:t>23.少先队辅导员职业成长路径研究</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zc4YTk1NjFhMTQ5OWY2MWM3YTZmYmRiYjJmOGIifQ=="/>
  </w:docVars>
  <w:rsids>
    <w:rsidRoot w:val="3A3C4E87"/>
    <w:rsid w:val="3A3C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仿宋_GB2312" w:eastAsia="仿宋_GB2312" w:cs="仿宋_GB2312"/>
    </w:rPr>
  </w:style>
  <w:style w:type="paragraph" w:styleId="3">
    <w:name w:val="Body Text Indent"/>
    <w:basedOn w:val="1"/>
    <w:qFormat/>
    <w:uiPriority w:val="99"/>
    <w:pPr>
      <w:ind w:firstLine="645"/>
    </w:pPr>
    <w:rPr>
      <w:rFonts w:ascii="黑体"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2024-05-21T03:31:00Z</dcterms:created>
  <dc:creator>pororo_cmf</dc:creator>
  <cp:lastModifiedBy>pororo_cmf</cp:lastModifiedBy>
  <dcterms:modified xsi:type="dcterms:W3CDTF">2024-05-21T03:32:15Z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08709CD396694D8997384BE95BD3D974_11</vt:lpwstr>
  </property>
</Properties>
</file>